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008080"/>
  <w:body>
    <w:tbl>
      <w:tblPr>
        <w:tblW w:w="9150" w:type="dxa"/>
        <w:jc w:val="center"/>
        <w:tblCellSpacing w:w="15" w:type="dxa"/>
        <w:tblCellMar>
          <w:top w:w="15" w:type="dxa"/>
          <w:left w:w="15" w:type="dxa"/>
          <w:bottom w:w="15" w:type="dxa"/>
          <w:right w:w="15" w:type="dxa"/>
        </w:tblCellMar>
        <w:tblLook w:val="04A0" w:firstRow="1" w:lastRow="0" w:firstColumn="1" w:lastColumn="0" w:noHBand="0" w:noVBand="1"/>
      </w:tblPr>
      <w:tblGrid>
        <w:gridCol w:w="9150"/>
      </w:tblGrid>
      <w:tr w:rsidR="003A56F8" w14:paraId="167EF93D" w14:textId="77777777">
        <w:trPr>
          <w:tblCellSpacing w:w="15" w:type="dxa"/>
          <w:jc w:val="center"/>
        </w:trPr>
        <w:tc>
          <w:tcPr>
            <w:tcW w:w="0" w:type="auto"/>
            <w:shd w:val="clear" w:color="auto" w:fill="FFFFFF"/>
            <w:tcMar>
              <w:top w:w="150" w:type="dxa"/>
              <w:left w:w="150" w:type="dxa"/>
              <w:bottom w:w="150" w:type="dxa"/>
              <w:right w:w="150" w:type="dxa"/>
            </w:tcMar>
            <w:vAlign w:val="center"/>
            <w:hideMark/>
          </w:tcPr>
          <w:p w14:paraId="097CDEE0" w14:textId="77777777" w:rsidR="003A56F8" w:rsidRDefault="001566D5">
            <w:pPr>
              <w:spacing w:line="336" w:lineRule="auto"/>
              <w:rPr>
                <w:rFonts w:ascii="ＭＳ ゴシック" w:eastAsia="ＭＳ ゴシック" w:hAnsi="ＭＳ ゴシック"/>
              </w:rPr>
            </w:pPr>
            <w:r>
              <w:rPr>
                <w:rFonts w:ascii="ＭＳ ゴシック" w:eastAsia="ＭＳ ゴシック" w:hAnsi="ＭＳ ゴシック" w:hint="eastAsia"/>
              </w:rPr>
              <w:br/>
            </w:r>
            <w:r>
              <w:rPr>
                <w:rFonts w:ascii="ＭＳ ゴシック" w:eastAsia="ＭＳ ゴシック" w:hAnsi="ＭＳ ゴシック" w:hint="eastAsia"/>
              </w:rPr>
              <w:br/>
              <w:t>（私法関係と基本権）</w:t>
            </w:r>
            <w:r>
              <w:rPr>
                <w:rFonts w:ascii="ＭＳ ゴシック" w:eastAsia="ＭＳ ゴシック" w:hAnsi="ＭＳ ゴシック" w:hint="eastAsia"/>
              </w:rPr>
              <w:br/>
              <w:t>最大判昭和48.12.12 民集第27巻11号1536頁（三菱樹脂事件）</w:t>
            </w:r>
            <w:r>
              <w:rPr>
                <w:rFonts w:ascii="ＭＳ ゴシック" w:eastAsia="ＭＳ ゴシック" w:hAnsi="ＭＳ ゴシック" w:hint="eastAsia"/>
              </w:rPr>
              <w:br/>
              <w:t>（判示事項）</w:t>
            </w:r>
            <w:r>
              <w:rPr>
                <w:rFonts w:ascii="ＭＳ ゴシック" w:eastAsia="ＭＳ ゴシック" w:hAnsi="ＭＳ ゴシック" w:hint="eastAsia"/>
              </w:rPr>
              <w:br/>
              <w:t xml:space="preserve">　一、憲法１４条、１９条と私人相互間の関係</w:t>
            </w:r>
            <w:r>
              <w:rPr>
                <w:rFonts w:ascii="ＭＳ ゴシック" w:eastAsia="ＭＳ ゴシック" w:hAnsi="ＭＳ ゴシック" w:hint="eastAsia"/>
              </w:rPr>
              <w:br/>
              <w:t xml:space="preserve">　二、特定の思想、信条を有することを理由とする雇入れの拒否は許されるか</w:t>
            </w:r>
            <w:r>
              <w:rPr>
                <w:rFonts w:ascii="ＭＳ ゴシック" w:eastAsia="ＭＳ ゴシック" w:hAnsi="ＭＳ ゴシック" w:hint="eastAsia"/>
              </w:rPr>
              <w:br/>
              <w:t xml:space="preserve">　三、雇入れと労働基準法３条</w:t>
            </w:r>
            <w:r>
              <w:rPr>
                <w:rFonts w:ascii="ＭＳ ゴシック" w:eastAsia="ＭＳ ゴシック" w:hAnsi="ＭＳ ゴシック" w:hint="eastAsia"/>
              </w:rPr>
              <w:br/>
              <w:t xml:space="preserve">　四、企業者が労働者の雇入れにあたりその思想、信条を調査することの可否</w:t>
            </w:r>
            <w:r>
              <w:rPr>
                <w:rFonts w:ascii="ＭＳ ゴシック" w:eastAsia="ＭＳ ゴシック" w:hAnsi="ＭＳ ゴシック" w:hint="eastAsia"/>
              </w:rPr>
              <w:br/>
              <w:t xml:space="preserve">　五、試用期間中に企業者が管理職要員として不適格であると認めたときは解約できる旨の特約に基づく留保解約権の行使が許される場合</w:t>
            </w:r>
            <w:r>
              <w:rPr>
                <w:rFonts w:ascii="ＭＳ ゴシック" w:eastAsia="ＭＳ ゴシック" w:hAnsi="ＭＳ ゴシック" w:hint="eastAsia"/>
              </w:rPr>
              <w:br/>
            </w:r>
            <w:r>
              <w:rPr>
                <w:rFonts w:ascii="ＭＳ ゴシック" w:eastAsia="ＭＳ ゴシック" w:hAnsi="ＭＳ ゴシック" w:hint="eastAsia"/>
              </w:rPr>
              <w:br/>
              <w:t>（裁判要旨）</w:t>
            </w:r>
            <w:r>
              <w:rPr>
                <w:rFonts w:ascii="ＭＳ ゴシック" w:eastAsia="ＭＳ ゴシック" w:hAnsi="ＭＳ ゴシック" w:hint="eastAsia"/>
              </w:rPr>
              <w:br/>
              <w:t xml:space="preserve">　一、憲法１４条や１９条の規定は、直接私人相互間の関係に適用されるものではない。</w:t>
            </w:r>
            <w:r>
              <w:rPr>
                <w:rFonts w:ascii="ＭＳ ゴシック" w:eastAsia="ＭＳ ゴシック" w:hAnsi="ＭＳ ゴシック" w:hint="eastAsia"/>
              </w:rPr>
              <w:br/>
              <w:t xml:space="preserve">　二、企業者が特定の思想、信条を有する労働者をそのゆえをもつて雇い入れることを拒んでも、それを当然に違法とすることはできない。</w:t>
            </w:r>
            <w:r>
              <w:rPr>
                <w:rFonts w:ascii="ＭＳ ゴシック" w:eastAsia="ＭＳ ゴシック" w:hAnsi="ＭＳ ゴシック" w:hint="eastAsia"/>
              </w:rPr>
              <w:br/>
              <w:t xml:space="preserve">　三、労働基準法３条は、労働者の雇入れそのものを制約する規定ではない。</w:t>
            </w:r>
            <w:r>
              <w:rPr>
                <w:rFonts w:ascii="ＭＳ ゴシック" w:eastAsia="ＭＳ ゴシック" w:hAnsi="ＭＳ ゴシック" w:hint="eastAsia"/>
              </w:rPr>
              <w:br/>
              <w:t xml:space="preserve">　四、労働者を雇い入れようとする企業者が、その採否決定にあたり、労働者の思想、信条を調査し、そのためその者からこれに関連する事項についての申告を求めることは、違法とはいえない。</w:t>
            </w:r>
            <w:r>
              <w:rPr>
                <w:rFonts w:ascii="ＭＳ ゴシック" w:eastAsia="ＭＳ ゴシック" w:hAnsi="ＭＳ ゴシック" w:hint="eastAsia"/>
              </w:rPr>
              <w:br/>
              <w:t xml:space="preserve">　五、企業者が、大学卒業者を管理職要員として新規採用するにあたり、採否決定の当初においてはその者の管理職要員としての適格性の判定資料を十分に蒐集することができないところから、後日における調査や観察に基づく最終的決定を留保する趣旨で試用期間を設け、企業者において右期間中に当該労働者が管理職要員として不適格であると認めたときは解約できる旨の特約上の解約権を留保したときは、その行使は、右解約権留保の趣旨、目的に照らして、客観的に合理的な理由が存し社会通念上相当として是認されうる場合にのみ許されるものと解すべきである。</w:t>
            </w:r>
            <w:r>
              <w:rPr>
                <w:rFonts w:ascii="ＭＳ ゴシック" w:eastAsia="ＭＳ ゴシック" w:hAnsi="ＭＳ ゴシック" w:hint="eastAsia"/>
              </w:rPr>
              <w:br/>
            </w:r>
            <w:r>
              <w:rPr>
                <w:rFonts w:ascii="ＭＳ ゴシック" w:eastAsia="ＭＳ ゴシック" w:hAnsi="ＭＳ ゴシック" w:hint="eastAsia"/>
              </w:rPr>
              <w:lastRenderedPageBreak/>
              <w:br/>
              <w:t>（参照法条）</w:t>
            </w:r>
            <w:r>
              <w:rPr>
                <w:rFonts w:ascii="ＭＳ ゴシック" w:eastAsia="ＭＳ ゴシック" w:hAnsi="ＭＳ ゴシック" w:hint="eastAsia"/>
              </w:rPr>
              <w:br/>
              <w:t>憲法14条，憲法19条，民法1条，民法90条，労働基準法3条，労働基準法第2章</w:t>
            </w:r>
            <w:r>
              <w:rPr>
                <w:rFonts w:ascii="ＭＳ ゴシック" w:eastAsia="ＭＳ ゴシック" w:hAnsi="ＭＳ ゴシック" w:hint="eastAsia"/>
              </w:rPr>
              <w:br/>
            </w:r>
            <w:r>
              <w:rPr>
                <w:rFonts w:ascii="ＭＳ ゴシック" w:eastAsia="ＭＳ ゴシック" w:hAnsi="ＭＳ ゴシック" w:hint="eastAsia"/>
              </w:rPr>
              <w:br/>
              <w:t>（判決理由抜粋）</w:t>
            </w:r>
            <w:r>
              <w:rPr>
                <w:rFonts w:ascii="ＭＳ ゴシック" w:eastAsia="ＭＳ ゴシック" w:hAnsi="ＭＳ ゴシック" w:hint="eastAsia"/>
              </w:rPr>
              <w:br/>
              <w:t xml:space="preserve">　</w:t>
            </w:r>
            <w:r>
              <w:rPr>
                <w:rFonts w:ascii="ＭＳ ゴシック" w:eastAsia="ＭＳ ゴシック" w:hAnsi="ＭＳ ゴシック" w:hint="eastAsia"/>
                <w:color w:val="FF0000"/>
              </w:rPr>
              <w:t>憲法の右各規定は、同法第３章のその他の自由権的基本権の保障規定と同じく、国または公共団体の統治行動に対して個人の基本的な自由と平等を保障する目的に出たもので、も</w:t>
            </w:r>
            <w:proofErr w:type="gramStart"/>
            <w:r>
              <w:rPr>
                <w:rFonts w:ascii="ＭＳ ゴシック" w:eastAsia="ＭＳ ゴシック" w:hAnsi="ＭＳ ゴシック" w:hint="eastAsia"/>
                <w:color w:val="FF0000"/>
              </w:rPr>
              <w:t>つぱら</w:t>
            </w:r>
            <w:proofErr w:type="gramEnd"/>
            <w:r>
              <w:rPr>
                <w:rFonts w:ascii="ＭＳ ゴシック" w:eastAsia="ＭＳ ゴシック" w:hAnsi="ＭＳ ゴシック" w:hint="eastAsia"/>
                <w:color w:val="FF0000"/>
              </w:rPr>
              <w:t>国または公共団体と個人との関係を規律するものであり、私人相互の関係を直接規律することを予定するものではない。</w:t>
            </w:r>
            <w:r>
              <w:rPr>
                <w:rFonts w:ascii="ＭＳ ゴシック" w:eastAsia="ＭＳ ゴシック" w:hAnsi="ＭＳ ゴシック" w:hint="eastAsia"/>
              </w:rPr>
              <w:t>このことは、基本的人権なる観念の成立および発展の歴史的沿革に徴し、かつ、憲法における基本権規定の形式、内容にかんがみても明らかである。のみならず、これらの規定の定める個人の自由や平等は、国や公共団体の統治行動に対する関係においてこそ、侵されることのない権利として保障されるべき性質のものであるけれども、私人間の関係においては、各人の有する自由と平等の権利自体が具体的場合に相互に矛盾、対立する可能性があり、このような場合におけるその対立の調整は、近代自由社会においては、原則として私的自治に委ねられ、ただ、一方の他方に対する侵害の態様、程度が社会的に許容しうる一定の限界を超える場合にのみ、法がこれに介入しその間の調整をはかるという建前がとられているのであつて、この点において国または公共団体と個人との関係の場合とはおのずから別個の観点からの考慮を必要とし、後者についての憲法上の基本権保障規定をそのまま私人相互間の関係についても適用ないしは類推適用すべきものとすることは、決して当をえた解釈ということはできないのである。</w:t>
            </w:r>
            <w:r>
              <w:rPr>
                <w:rFonts w:ascii="ＭＳ ゴシック" w:eastAsia="ＭＳ ゴシック" w:hAnsi="ＭＳ ゴシック" w:hint="eastAsia"/>
              </w:rPr>
              <w:br/>
              <w:t xml:space="preserve">　(２) もつとも、私人間の関係においても、相互の社会的力関係の相違から、一方が他方に優越し、事実上後者が前者の意思に服従せざるをえない場合があり、このような場合に私的自治の名の下に優位者の支配力を無制限に認めるときは、劣位者の自由や平等を著しく侵害または制限することとなるおそれがあることは否み難いが、そのためにこのような場合に限り憲法の基本権保障規定の適用ないしは類推適用を認めるべきであるとする見解もまた、採用することはできない。</w:t>
            </w:r>
            <w:r>
              <w:rPr>
                <w:rFonts w:ascii="ＭＳ ゴシック" w:eastAsia="ＭＳ ゴシック" w:hAnsi="ＭＳ ゴシック" w:hint="eastAsia"/>
              </w:rPr>
              <w:lastRenderedPageBreak/>
              <w:t>何となれば、右のような事実上の支配関係なるものは、その支配力の態様、程度、規模等においてさまざまであり、どのような場合にこれを国または公共団体の支配と同視すべきかの判定が困難であるばかりでなく、一方が権力の法的独占の上に立つ</w:t>
            </w:r>
            <w:proofErr w:type="gramStart"/>
            <w:r>
              <w:rPr>
                <w:rFonts w:ascii="ＭＳ ゴシック" w:eastAsia="ＭＳ ゴシック" w:hAnsi="ＭＳ ゴシック" w:hint="eastAsia"/>
              </w:rPr>
              <w:t>て</w:t>
            </w:r>
            <w:proofErr w:type="gramEnd"/>
            <w:r>
              <w:rPr>
                <w:rFonts w:ascii="ＭＳ ゴシック" w:eastAsia="ＭＳ ゴシック" w:hAnsi="ＭＳ ゴシック" w:hint="eastAsia"/>
              </w:rPr>
              <w:t>行なわれるものであるのに対し、他方はこのような裏付けないしは基礎を欠く単なる社会的事実としての力の優劣の関係にすぎず、その間に画然たる性質上の区別が存するからである。すなわち、</w:t>
            </w:r>
            <w:r>
              <w:rPr>
                <w:rFonts w:ascii="ＭＳ ゴシック" w:eastAsia="ＭＳ ゴシック" w:hAnsi="ＭＳ ゴシック" w:hint="eastAsia"/>
                <w:color w:val="FF0000"/>
              </w:rPr>
              <w:t>私的支配関係においては、個人の基本的な自由や平等に対する具体的な侵害またはそのおそれがあり、その態様、程度が社会的に許容しうる限度を超えるときは、これに対する立法措置に</w:t>
            </w:r>
            <w:proofErr w:type="gramStart"/>
            <w:r>
              <w:rPr>
                <w:rFonts w:ascii="ＭＳ ゴシック" w:eastAsia="ＭＳ ゴシック" w:hAnsi="ＭＳ ゴシック" w:hint="eastAsia"/>
                <w:color w:val="FF0000"/>
              </w:rPr>
              <w:t>よつて</w:t>
            </w:r>
            <w:proofErr w:type="gramEnd"/>
            <w:r>
              <w:rPr>
                <w:rFonts w:ascii="ＭＳ ゴシック" w:eastAsia="ＭＳ ゴシック" w:hAnsi="ＭＳ ゴシック" w:hint="eastAsia"/>
                <w:color w:val="FF0000"/>
              </w:rPr>
              <w:t>その是正を図ることが可能であるし、また、場合に</w:t>
            </w:r>
            <w:proofErr w:type="gramStart"/>
            <w:r>
              <w:rPr>
                <w:rFonts w:ascii="ＭＳ ゴシック" w:eastAsia="ＭＳ ゴシック" w:hAnsi="ＭＳ ゴシック" w:hint="eastAsia"/>
                <w:color w:val="FF0000"/>
              </w:rPr>
              <w:t>よつては</w:t>
            </w:r>
            <w:proofErr w:type="gramEnd"/>
            <w:r>
              <w:rPr>
                <w:rFonts w:ascii="ＭＳ ゴシック" w:eastAsia="ＭＳ ゴシック" w:hAnsi="ＭＳ ゴシック" w:hint="eastAsia"/>
                <w:color w:val="FF0000"/>
              </w:rPr>
              <w:t>、私的自治に対する一般的制限規定である民法１条、９０条や不法行為に関する諸規定等の適切な運用に</w:t>
            </w:r>
            <w:proofErr w:type="gramStart"/>
            <w:r>
              <w:rPr>
                <w:rFonts w:ascii="ＭＳ ゴシック" w:eastAsia="ＭＳ ゴシック" w:hAnsi="ＭＳ ゴシック" w:hint="eastAsia"/>
                <w:color w:val="FF0000"/>
              </w:rPr>
              <w:t>よつて</w:t>
            </w:r>
            <w:proofErr w:type="gramEnd"/>
            <w:r>
              <w:rPr>
                <w:rFonts w:ascii="ＭＳ ゴシック" w:eastAsia="ＭＳ ゴシック" w:hAnsi="ＭＳ ゴシック" w:hint="eastAsia"/>
                <w:color w:val="FF0000"/>
              </w:rPr>
              <w:t>、一面で私的自治の原則を尊重しながら、他面で社会的許容性の限度を超える侵害に対し基本的な自由や平等の利益を保護し、その間の適切な調整を図る方途も存するのである。</w:t>
            </w:r>
            <w:r>
              <w:rPr>
                <w:rFonts w:ascii="ＭＳ ゴシック" w:eastAsia="ＭＳ ゴシック" w:hAnsi="ＭＳ ゴシック" w:hint="eastAsia"/>
              </w:rPr>
              <w:t>そしてこの場合、個人の基本的な自由や平等を極めて重要な法益として尊重すべきことは当然であるが、これを絶対視することも許されず、統治行動の場合と同一の基準や観念に</w:t>
            </w:r>
            <w:proofErr w:type="gramStart"/>
            <w:r>
              <w:rPr>
                <w:rFonts w:ascii="ＭＳ ゴシック" w:eastAsia="ＭＳ ゴシック" w:hAnsi="ＭＳ ゴシック" w:hint="eastAsia"/>
              </w:rPr>
              <w:t>よつて</w:t>
            </w:r>
            <w:proofErr w:type="gramEnd"/>
            <w:r>
              <w:rPr>
                <w:rFonts w:ascii="ＭＳ ゴシック" w:eastAsia="ＭＳ ゴシック" w:hAnsi="ＭＳ ゴシック" w:hint="eastAsia"/>
              </w:rPr>
              <w:t>これを律することができないことは、論をまたないところである。</w:t>
            </w:r>
            <w:r>
              <w:rPr>
                <w:rFonts w:ascii="ＭＳ ゴシック" w:eastAsia="ＭＳ ゴシック" w:hAnsi="ＭＳ ゴシック" w:hint="eastAsia"/>
              </w:rPr>
              <w:br/>
              <w:t xml:space="preserve">　(３) ところで、憲法は、思想、信条の自由や法の下の平等を保障すると同時に、他方、２２条、２９条等において、財産権の行使、営業その他広く経済活動の自由をも基本的人権として保障している。それゆえ、企業者は、かような経済活動の一環としてする契約締結の自由を有し、自己の営業のために労働者を雇傭するにあたり、いかなる者を雇い入れるか、いかなる条件でこれを雇うかについて、法律その他による特別の制限がない限り、原則として自由にこれを決定することができるのであつて、企業者が特定の思想、信条を有する者をそのゆえをもつて雇い入れることを拒んでも、それを当然に違法とすることはできないのである。憲法１４条の規定が私人のこのような行為を直接禁止するものでないことは前記のとおりであり、また、労働基準法３条は労働者の信条に</w:t>
            </w:r>
            <w:proofErr w:type="gramStart"/>
            <w:r>
              <w:rPr>
                <w:rFonts w:ascii="ＭＳ ゴシック" w:eastAsia="ＭＳ ゴシック" w:hAnsi="ＭＳ ゴシック" w:hint="eastAsia"/>
              </w:rPr>
              <w:t>よつて</w:t>
            </w:r>
            <w:proofErr w:type="gramEnd"/>
            <w:r>
              <w:rPr>
                <w:rFonts w:ascii="ＭＳ ゴシック" w:eastAsia="ＭＳ ゴシック" w:hAnsi="ＭＳ ゴシック" w:hint="eastAsia"/>
              </w:rPr>
              <w:t>賃金その他の労働条件につき差別することを禁じているが、これは、雇入れ後における労働条件についての制限で</w:t>
            </w:r>
            <w:proofErr w:type="gramStart"/>
            <w:r>
              <w:rPr>
                <w:rFonts w:ascii="ＭＳ ゴシック" w:eastAsia="ＭＳ ゴシック" w:hAnsi="ＭＳ ゴシック" w:hint="eastAsia"/>
              </w:rPr>
              <w:t>あつて</w:t>
            </w:r>
            <w:proofErr w:type="gramEnd"/>
            <w:r>
              <w:rPr>
                <w:rFonts w:ascii="ＭＳ ゴシック" w:eastAsia="ＭＳ ゴシック" w:hAnsi="ＭＳ ゴシック" w:hint="eastAsia"/>
              </w:rPr>
              <w:t>、雇入れそのものを制約する規定ではない。また、思想、信条を理由とする雇入れの拒否を直ちに民法上の不法行為とすることがで</w:t>
            </w:r>
            <w:r>
              <w:rPr>
                <w:rFonts w:ascii="ＭＳ ゴシック" w:eastAsia="ＭＳ ゴシック" w:hAnsi="ＭＳ ゴシック" w:hint="eastAsia"/>
              </w:rPr>
              <w:lastRenderedPageBreak/>
              <w:t>きないことは明らかであり、その他これを公序良俗違反と解すべき根拠も見出すことはできない。</w:t>
            </w:r>
            <w:r>
              <w:rPr>
                <w:rFonts w:ascii="ＭＳ ゴシック" w:eastAsia="ＭＳ ゴシック" w:hAnsi="ＭＳ ゴシック" w:hint="eastAsia"/>
              </w:rPr>
              <w:br/>
              <w:t xml:space="preserve">　右のように、企業者が雇傭の自由を有し、思想、信条を理由として雇入れを拒んでもこれを目して違法とすることができない以上、企業者が、労働者の採否決定にあたり、労働者の思想、信条を調査し、そのためその者からこれに関連する事項についての申告を求めることも、これを法律上禁止された違法行為とすべき理由はない。もとより、企業者は、一般的には個々の労働者に対して社会的に優越した地位にあるから、企業者のこの種の行為が労働者の思想、信条の自由に対して影響を与える可能性がないとはいえないが、法律に別段の定めがない限り、右は企業者の法的に許された行為と解すべきである。また、企業者において、その雇傭する労働者が当該企業の中でその円滑な運営の妨げとなるような行動、態度に出るおそれのある者でないかどうかに大きな関心を抱き、そのために採否決定に先立つ</w:t>
            </w:r>
            <w:proofErr w:type="gramStart"/>
            <w:r>
              <w:rPr>
                <w:rFonts w:ascii="ＭＳ ゴシック" w:eastAsia="ＭＳ ゴシック" w:hAnsi="ＭＳ ゴシック" w:hint="eastAsia"/>
              </w:rPr>
              <w:t>て</w:t>
            </w:r>
            <w:proofErr w:type="gramEnd"/>
            <w:r>
              <w:rPr>
                <w:rFonts w:ascii="ＭＳ ゴシック" w:eastAsia="ＭＳ ゴシック" w:hAnsi="ＭＳ ゴシック" w:hint="eastAsia"/>
              </w:rPr>
              <w:t>その者の性向、思想等の調査を行なうことは、企業における雇傭関係が、単なる物理的労働力の提供の関係を超えて、一種の継続的な人間関係として相互信頼を要請するところが少なくなく、わが国におけるようにいわゆる終身雇傭制が行なわれている社会では一層そうであることにかんがみるときは、企業活動としての合理性を欠くものということはできない。のみならず、本件において問題とされている上告人の調査が、前記のように、被上告人の思想、信条そのものについてではなく、直接には被上告人の過去の行動についてされたものであり、ただその行動が被上告人の思想、信条となんらかの関係があることを否定できないような性質のものであるというにとどまるとすれば、なおさらこのような調査を目して違法とすることはできないのである。</w:t>
            </w:r>
            <w:r>
              <w:rPr>
                <w:rFonts w:ascii="ＭＳ ゴシック" w:eastAsia="ＭＳ ゴシック" w:hAnsi="ＭＳ ゴシック" w:hint="eastAsia"/>
              </w:rPr>
              <w:br/>
              <w:t xml:space="preserve">　右の次第で、原判決が、上告人において、被上告人の採用のための調査にあたり、その思想、信条に関係のある事項について被上告人から申告を求めたことは法律上許されない違法な行為であるとしたのは、法令の解釈、適用を</w:t>
            </w:r>
            <w:proofErr w:type="gramStart"/>
            <w:r>
              <w:rPr>
                <w:rFonts w:ascii="ＭＳ ゴシック" w:eastAsia="ＭＳ ゴシック" w:hAnsi="ＭＳ ゴシック" w:hint="eastAsia"/>
              </w:rPr>
              <w:t>誤つた</w:t>
            </w:r>
            <w:proofErr w:type="gramEnd"/>
            <w:r>
              <w:rPr>
                <w:rFonts w:ascii="ＭＳ ゴシック" w:eastAsia="ＭＳ ゴシック" w:hAnsi="ＭＳ ゴシック" w:hint="eastAsia"/>
              </w:rPr>
              <w:t>ものといわなければならない。</w:t>
            </w:r>
            <w:r>
              <w:rPr>
                <w:rFonts w:ascii="ＭＳ ゴシック" w:eastAsia="ＭＳ ゴシック" w:hAnsi="ＭＳ ゴシック" w:hint="eastAsia"/>
              </w:rPr>
              <w:br/>
            </w:r>
            <w:r>
              <w:rPr>
                <w:rFonts w:ascii="ＭＳ ゴシック" w:eastAsia="ＭＳ ゴシック" w:hAnsi="ＭＳ ゴシック" w:hint="eastAsia"/>
              </w:rPr>
              <w:br/>
            </w:r>
            <w:r>
              <w:rPr>
                <w:rFonts w:ascii="ＭＳ ゴシック" w:eastAsia="ＭＳ ゴシック" w:hAnsi="ＭＳ ゴシック" w:hint="eastAsia"/>
              </w:rPr>
              <w:br/>
            </w:r>
            <w:r>
              <w:rPr>
                <w:rFonts w:ascii="ＭＳ ゴシック" w:eastAsia="ＭＳ ゴシック" w:hAnsi="ＭＳ ゴシック" w:hint="eastAsia"/>
              </w:rPr>
              <w:lastRenderedPageBreak/>
              <w:t>https://www.courts.go.jp/app/hanrei_jp/detail2?id=51931</w:t>
            </w:r>
            <w:r>
              <w:rPr>
                <w:rFonts w:ascii="ＭＳ ゴシック" w:eastAsia="ＭＳ ゴシック" w:hAnsi="ＭＳ ゴシック" w:hint="eastAsia"/>
              </w:rPr>
              <w:br/>
              <w:t xml:space="preserve">最大判昭和48.12.12民集第27巻11号1536頁（三菱樹脂事件）.html </w:t>
            </w:r>
          </w:p>
        </w:tc>
      </w:tr>
    </w:tbl>
    <w:p w14:paraId="202C660A" w14:textId="77777777" w:rsidR="003A56F8" w:rsidRDefault="003A56F8"/>
    <w:sectPr w:rsidR="003A56F8">
      <w:pgSz w:w="11906" w:h="16838"/>
      <w:pgMar w:top="1985" w:right="1701" w:bottom="1701"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B3532" w14:textId="77777777" w:rsidR="001566D5" w:rsidRDefault="001566D5" w:rsidP="001566D5">
      <w:r>
        <w:separator/>
      </w:r>
    </w:p>
  </w:endnote>
  <w:endnote w:type="continuationSeparator" w:id="0">
    <w:p w14:paraId="7B7AC0B5" w14:textId="77777777" w:rsidR="001566D5" w:rsidRDefault="001566D5" w:rsidP="00156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34F0B" w14:textId="77777777" w:rsidR="001566D5" w:rsidRDefault="001566D5" w:rsidP="001566D5">
      <w:r>
        <w:separator/>
      </w:r>
    </w:p>
  </w:footnote>
  <w:footnote w:type="continuationSeparator" w:id="0">
    <w:p w14:paraId="3F514786" w14:textId="77777777" w:rsidR="001566D5" w:rsidRDefault="001566D5" w:rsidP="001566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6D5"/>
    <w:rsid w:val="00115161"/>
    <w:rsid w:val="001566D5"/>
    <w:rsid w:val="003A56F8"/>
    <w:rsid w:val="00F534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5117F88E"/>
  <w15:chartTrackingRefBased/>
  <w15:docId w15:val="{A148625A-F1E1-49A6-A8A5-6065DD80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pPr>
      <w:spacing w:before="100" w:beforeAutospacing="1" w:after="100" w:afterAutospacing="1"/>
    </w:pPr>
  </w:style>
  <w:style w:type="paragraph" w:customStyle="1" w:styleId="seltext">
    <w:name w:val="seltext"/>
    <w:basedOn w:val="a"/>
    <w:pPr>
      <w:spacing w:before="100" w:beforeAutospacing="1" w:after="100" w:afterAutospacing="1" w:line="336" w:lineRule="auto"/>
    </w:pPr>
    <w:rPr>
      <w:rFonts w:ascii="ＭＳ ゴシック" w:eastAsia="ＭＳ ゴシック" w:hAnsi="ＭＳ ゴシック"/>
    </w:rPr>
  </w:style>
  <w:style w:type="paragraph" w:styleId="a3">
    <w:name w:val="header"/>
    <w:basedOn w:val="a"/>
    <w:link w:val="a4"/>
    <w:uiPriority w:val="99"/>
    <w:unhideWhenUsed/>
    <w:rsid w:val="001566D5"/>
    <w:pPr>
      <w:tabs>
        <w:tab w:val="center" w:pos="4252"/>
        <w:tab w:val="right" w:pos="8504"/>
      </w:tabs>
      <w:snapToGrid w:val="0"/>
    </w:pPr>
  </w:style>
  <w:style w:type="character" w:customStyle="1" w:styleId="a4">
    <w:name w:val="ヘッダー (文字)"/>
    <w:basedOn w:val="a0"/>
    <w:link w:val="a3"/>
    <w:uiPriority w:val="99"/>
    <w:rsid w:val="001566D5"/>
    <w:rPr>
      <w:rFonts w:ascii="ＭＳ Ｐゴシック" w:eastAsia="ＭＳ Ｐゴシック" w:hAnsi="ＭＳ Ｐゴシック" w:cs="ＭＳ Ｐゴシック"/>
      <w:sz w:val="24"/>
      <w:szCs w:val="24"/>
    </w:rPr>
  </w:style>
  <w:style w:type="paragraph" w:styleId="a5">
    <w:name w:val="footer"/>
    <w:basedOn w:val="a"/>
    <w:link w:val="a6"/>
    <w:uiPriority w:val="99"/>
    <w:unhideWhenUsed/>
    <w:rsid w:val="001566D5"/>
    <w:pPr>
      <w:tabs>
        <w:tab w:val="center" w:pos="4252"/>
        <w:tab w:val="right" w:pos="8504"/>
      </w:tabs>
      <w:snapToGrid w:val="0"/>
    </w:pPr>
  </w:style>
  <w:style w:type="character" w:customStyle="1" w:styleId="a6">
    <w:name w:val="フッター (文字)"/>
    <w:basedOn w:val="a0"/>
    <w:link w:val="a5"/>
    <w:uiPriority w:val="99"/>
    <w:rsid w:val="001566D5"/>
    <w:rPr>
      <w:rFonts w:ascii="ＭＳ Ｐゴシック" w:eastAsia="ＭＳ Ｐゴシック" w:hAnsi="ＭＳ Ｐゴシック" w:cs="ＭＳ Ｐゴシック"/>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3469</Words>
  <Characters>137</Characters>
  <DocSecurity>0</DocSecurity>
  <Lines>1</Lines>
  <Paragraphs>7</Paragraphs>
  <ScaleCrop>false</ScaleCrop>
  <Company/>
  <LinksUpToDate>false</LinksUpToDate>
  <CharactersWithSpaces>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2022-06-24T05:57:00Z</dcterms:created>
  <dcterms:modified xsi:type="dcterms:W3CDTF">2022-06-24T06:06:00Z</dcterms:modified>
</cp:coreProperties>
</file>